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312F" w14:textId="77777777" w:rsidR="00415C30" w:rsidRDefault="00415C30" w:rsidP="00F1351D">
      <w:pPr>
        <w:autoSpaceDE w:val="0"/>
        <w:autoSpaceDN w:val="0"/>
        <w:spacing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92691D7" w14:textId="77777777" w:rsidR="00415C30" w:rsidRDefault="00415C30" w:rsidP="00F1351D">
      <w:pPr>
        <w:autoSpaceDE w:val="0"/>
        <w:autoSpaceDN w:val="0"/>
        <w:spacing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7B5E709" w14:textId="1EB984D4" w:rsidR="002B06B2" w:rsidRPr="00865657" w:rsidRDefault="009A5503" w:rsidP="00F1351D">
      <w:pPr>
        <w:autoSpaceDE w:val="0"/>
        <w:autoSpaceDN w:val="0"/>
        <w:spacing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5657">
        <w:rPr>
          <w:rFonts w:ascii="Arial" w:hAnsi="Arial" w:cs="Arial"/>
          <w:b/>
          <w:bCs/>
          <w:color w:val="000000"/>
          <w:sz w:val="28"/>
          <w:szCs w:val="28"/>
        </w:rPr>
        <w:t>Local Law No</w:t>
      </w:r>
      <w:r w:rsidR="00F1351D" w:rsidRPr="00865657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777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775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7775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3 </w:t>
      </w:r>
      <w:r w:rsidRPr="00865657">
        <w:rPr>
          <w:rFonts w:ascii="Arial" w:hAnsi="Arial" w:cs="Arial"/>
          <w:b/>
          <w:bCs/>
          <w:color w:val="000000"/>
          <w:sz w:val="28"/>
          <w:szCs w:val="28"/>
        </w:rPr>
        <w:t xml:space="preserve"> of</w:t>
      </w:r>
      <w:proofErr w:type="gramEnd"/>
      <w:r w:rsidRPr="00865657">
        <w:rPr>
          <w:rFonts w:ascii="Arial" w:hAnsi="Arial" w:cs="Arial"/>
          <w:b/>
          <w:bCs/>
          <w:color w:val="000000"/>
          <w:sz w:val="28"/>
          <w:szCs w:val="28"/>
        </w:rPr>
        <w:t xml:space="preserve"> the year 20</w:t>
      </w:r>
      <w:r w:rsidR="007D5B48" w:rsidRPr="0086565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51296" w:rsidRPr="00865657">
        <w:rPr>
          <w:rFonts w:ascii="Arial" w:hAnsi="Arial" w:cs="Arial"/>
          <w:b/>
          <w:bCs/>
          <w:color w:val="000000"/>
          <w:sz w:val="28"/>
          <w:szCs w:val="28"/>
        </w:rPr>
        <w:t>1</w:t>
      </w:r>
    </w:p>
    <w:p w14:paraId="686CF665" w14:textId="77777777" w:rsidR="002B06B2" w:rsidRPr="00865657" w:rsidRDefault="00000636" w:rsidP="00F1351D">
      <w:pPr>
        <w:autoSpaceDE w:val="0"/>
        <w:autoSpaceDN w:val="0"/>
        <w:spacing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5657">
        <w:rPr>
          <w:rFonts w:ascii="Arial" w:hAnsi="Arial" w:cs="Arial"/>
          <w:b/>
          <w:bCs/>
          <w:color w:val="000000"/>
          <w:sz w:val="28"/>
          <w:szCs w:val="28"/>
        </w:rPr>
        <w:t>Village</w:t>
      </w:r>
      <w:r w:rsidR="009A5503" w:rsidRPr="00865657">
        <w:rPr>
          <w:rFonts w:ascii="Arial" w:hAnsi="Arial" w:cs="Arial"/>
          <w:b/>
          <w:bCs/>
          <w:color w:val="000000"/>
          <w:sz w:val="28"/>
          <w:szCs w:val="28"/>
        </w:rPr>
        <w:t xml:space="preserve"> of </w:t>
      </w:r>
      <w:r w:rsidR="0006441E">
        <w:rPr>
          <w:rFonts w:ascii="Arial" w:hAnsi="Arial" w:cs="Arial"/>
          <w:b/>
          <w:bCs/>
          <w:color w:val="000000"/>
          <w:sz w:val="28"/>
          <w:szCs w:val="28"/>
        </w:rPr>
        <w:t>South Blooming Grove, County of Orange</w:t>
      </w:r>
    </w:p>
    <w:p w14:paraId="37356E63" w14:textId="77777777" w:rsidR="002B06B2" w:rsidRPr="00951296" w:rsidRDefault="009A5503" w:rsidP="0006441E">
      <w:pPr>
        <w:autoSpaceDE w:val="0"/>
        <w:autoSpaceDN w:val="0"/>
        <w:spacing w:after="240"/>
        <w:jc w:val="both"/>
        <w:rPr>
          <w:rFonts w:ascii="Arial" w:hAnsi="Arial" w:cs="Arial"/>
          <w:b/>
          <w:color w:val="000000"/>
        </w:rPr>
      </w:pPr>
      <w:r w:rsidRPr="00402FFB">
        <w:rPr>
          <w:rFonts w:ascii="Arial" w:hAnsi="Arial" w:cs="Arial"/>
          <w:b/>
          <w:color w:val="000000"/>
        </w:rPr>
        <w:t xml:space="preserve">A local law </w:t>
      </w:r>
      <w:r w:rsidR="00951296">
        <w:rPr>
          <w:rFonts w:ascii="Arial" w:hAnsi="Arial" w:cs="Arial"/>
          <w:b/>
          <w:color w:val="000000"/>
        </w:rPr>
        <w:t xml:space="preserve">adopted pursuant to Cannabis Law § 131 opting out of </w:t>
      </w:r>
      <w:r w:rsidR="00951296" w:rsidRPr="00951296">
        <w:rPr>
          <w:rFonts w:ascii="Arial" w:hAnsi="Arial" w:cs="Arial"/>
          <w:b/>
          <w:color w:val="000000"/>
        </w:rPr>
        <w:t>licens</w:t>
      </w:r>
      <w:r w:rsidR="00951296">
        <w:rPr>
          <w:rFonts w:ascii="Arial" w:hAnsi="Arial" w:cs="Arial"/>
          <w:b/>
          <w:color w:val="000000"/>
        </w:rPr>
        <w:t xml:space="preserve">ing and establishing </w:t>
      </w:r>
      <w:r w:rsidR="00951296" w:rsidRPr="00951296">
        <w:rPr>
          <w:rFonts w:ascii="Arial" w:hAnsi="Arial" w:cs="Arial"/>
          <w:b/>
          <w:color w:val="000000"/>
        </w:rPr>
        <w:t xml:space="preserve">retail </w:t>
      </w:r>
      <w:r w:rsidR="00951296">
        <w:rPr>
          <w:rFonts w:ascii="Arial" w:hAnsi="Arial" w:cs="Arial"/>
          <w:b/>
          <w:color w:val="000000"/>
        </w:rPr>
        <w:t xml:space="preserve">cannabis </w:t>
      </w:r>
      <w:r w:rsidR="00951296" w:rsidRPr="00951296">
        <w:rPr>
          <w:rFonts w:ascii="Arial" w:hAnsi="Arial" w:cs="Arial"/>
          <w:b/>
          <w:color w:val="000000"/>
        </w:rPr>
        <w:t>dispensar</w:t>
      </w:r>
      <w:r w:rsidR="00951296">
        <w:rPr>
          <w:rFonts w:ascii="Arial" w:hAnsi="Arial" w:cs="Arial"/>
          <w:b/>
          <w:color w:val="000000"/>
        </w:rPr>
        <w:t>ies</w:t>
      </w:r>
      <w:r w:rsidR="00951296" w:rsidRPr="00951296">
        <w:rPr>
          <w:rFonts w:ascii="Arial" w:hAnsi="Arial" w:cs="Arial"/>
          <w:b/>
          <w:color w:val="000000"/>
        </w:rPr>
        <w:t xml:space="preserve"> and/or on-site </w:t>
      </w:r>
      <w:r w:rsidR="00951296">
        <w:rPr>
          <w:rFonts w:ascii="Arial" w:hAnsi="Arial" w:cs="Arial"/>
          <w:b/>
          <w:color w:val="000000"/>
        </w:rPr>
        <w:t xml:space="preserve">cannabis </w:t>
      </w:r>
      <w:r w:rsidR="00951296" w:rsidRPr="00951296">
        <w:rPr>
          <w:rFonts w:ascii="Arial" w:hAnsi="Arial" w:cs="Arial"/>
          <w:b/>
          <w:color w:val="000000"/>
        </w:rPr>
        <w:t xml:space="preserve">consumption </w:t>
      </w:r>
      <w:r w:rsidR="00951296">
        <w:rPr>
          <w:rFonts w:ascii="Arial" w:hAnsi="Arial" w:cs="Arial"/>
          <w:b/>
          <w:color w:val="000000"/>
        </w:rPr>
        <w:t xml:space="preserve">establishments within the </w:t>
      </w:r>
      <w:r w:rsidR="001B6A30">
        <w:rPr>
          <w:rFonts w:ascii="Arial" w:hAnsi="Arial" w:cs="Arial"/>
          <w:b/>
          <w:color w:val="000000"/>
        </w:rPr>
        <w:t>V</w:t>
      </w:r>
      <w:r w:rsidR="00951296">
        <w:rPr>
          <w:rFonts w:ascii="Arial" w:hAnsi="Arial" w:cs="Arial"/>
          <w:b/>
          <w:color w:val="000000"/>
        </w:rPr>
        <w:t xml:space="preserve">illage of </w:t>
      </w:r>
      <w:r w:rsidR="0006441E">
        <w:rPr>
          <w:rFonts w:ascii="Arial" w:hAnsi="Arial" w:cs="Arial"/>
          <w:b/>
          <w:color w:val="000000"/>
        </w:rPr>
        <w:t xml:space="preserve">South Blooming Grove. </w:t>
      </w:r>
    </w:p>
    <w:p w14:paraId="17D8A2CF" w14:textId="77777777" w:rsidR="002B06B2" w:rsidRPr="00402FFB" w:rsidRDefault="009A5503" w:rsidP="00402FFB">
      <w:pPr>
        <w:autoSpaceDE w:val="0"/>
        <w:autoSpaceDN w:val="0"/>
        <w:spacing w:after="240"/>
        <w:rPr>
          <w:rFonts w:ascii="Arial" w:hAnsi="Arial" w:cs="Arial"/>
          <w:b/>
          <w:color w:val="000000"/>
        </w:rPr>
      </w:pPr>
      <w:r w:rsidRPr="00402FFB">
        <w:rPr>
          <w:rFonts w:ascii="Arial" w:hAnsi="Arial" w:cs="Arial"/>
          <w:b/>
          <w:color w:val="000000"/>
        </w:rPr>
        <w:t>Section 1. Legislative Intent</w:t>
      </w:r>
    </w:p>
    <w:p w14:paraId="6CEAA6AE" w14:textId="77777777" w:rsidR="002B06B2" w:rsidRPr="00402FFB" w:rsidRDefault="009A5503" w:rsidP="0006441E">
      <w:pPr>
        <w:autoSpaceDE w:val="0"/>
        <w:autoSpaceDN w:val="0"/>
        <w:spacing w:after="240"/>
        <w:jc w:val="both"/>
        <w:rPr>
          <w:rFonts w:ascii="Arial" w:hAnsi="Arial" w:cs="Arial"/>
          <w:color w:val="000000"/>
        </w:rPr>
      </w:pPr>
      <w:r w:rsidRPr="00402FFB">
        <w:rPr>
          <w:rFonts w:ascii="Arial" w:hAnsi="Arial" w:cs="Arial"/>
          <w:color w:val="000000"/>
        </w:rPr>
        <w:t xml:space="preserve">It is the intent of this local law to </w:t>
      </w:r>
      <w:r w:rsidR="00951296">
        <w:rPr>
          <w:rFonts w:ascii="Arial" w:hAnsi="Arial" w:cs="Arial"/>
          <w:color w:val="000000"/>
        </w:rPr>
        <w:t>opt</w:t>
      </w:r>
      <w:r w:rsidR="0006441E">
        <w:rPr>
          <w:rFonts w:ascii="Arial" w:hAnsi="Arial" w:cs="Arial"/>
          <w:color w:val="000000"/>
        </w:rPr>
        <w:t xml:space="preserve"> </w:t>
      </w:r>
      <w:r w:rsidRPr="00402FFB">
        <w:rPr>
          <w:rFonts w:ascii="Arial" w:hAnsi="Arial" w:cs="Arial"/>
          <w:color w:val="000000"/>
        </w:rPr>
        <w:t xml:space="preserve">the </w:t>
      </w:r>
      <w:r w:rsidR="00000636" w:rsidRPr="00402FFB">
        <w:rPr>
          <w:rFonts w:ascii="Arial" w:hAnsi="Arial" w:cs="Arial"/>
          <w:color w:val="000000"/>
        </w:rPr>
        <w:t>Village</w:t>
      </w:r>
      <w:r w:rsidRPr="00402FFB">
        <w:rPr>
          <w:rFonts w:ascii="Arial" w:hAnsi="Arial" w:cs="Arial"/>
          <w:color w:val="000000"/>
        </w:rPr>
        <w:t xml:space="preserve"> of </w:t>
      </w:r>
      <w:r w:rsidR="0006441E">
        <w:rPr>
          <w:rFonts w:ascii="Arial" w:hAnsi="Arial" w:cs="Arial"/>
          <w:color w:val="000000"/>
        </w:rPr>
        <w:t xml:space="preserve">South Blooming Grove </w:t>
      </w:r>
      <w:r w:rsidR="00B111C9">
        <w:rPr>
          <w:rFonts w:ascii="Arial" w:hAnsi="Arial" w:cs="Arial"/>
          <w:color w:val="000000"/>
        </w:rPr>
        <w:t xml:space="preserve">out of </w:t>
      </w:r>
      <w:r w:rsidR="00951296">
        <w:rPr>
          <w:rFonts w:ascii="Arial" w:hAnsi="Arial" w:cs="Arial"/>
          <w:color w:val="000000"/>
        </w:rPr>
        <w:t xml:space="preserve">hosting </w:t>
      </w:r>
      <w:r w:rsidR="00951296" w:rsidRPr="00951296">
        <w:rPr>
          <w:rFonts w:ascii="Arial" w:hAnsi="Arial" w:cs="Arial"/>
          <w:color w:val="000000"/>
        </w:rPr>
        <w:t xml:space="preserve">retail cannabis dispensaries and/or on-site cannabis consumption establishments </w:t>
      </w:r>
      <w:r w:rsidR="00951296">
        <w:rPr>
          <w:rFonts w:ascii="Arial" w:hAnsi="Arial" w:cs="Arial"/>
          <w:color w:val="000000"/>
        </w:rPr>
        <w:t>within its boundaries</w:t>
      </w:r>
      <w:r w:rsidRPr="00402FFB">
        <w:rPr>
          <w:rFonts w:ascii="Arial" w:hAnsi="Arial" w:cs="Arial"/>
          <w:color w:val="000000"/>
        </w:rPr>
        <w:t>.</w:t>
      </w:r>
    </w:p>
    <w:p w14:paraId="010945FE" w14:textId="77777777" w:rsidR="002B06B2" w:rsidRPr="00402FFB" w:rsidRDefault="009A5503" w:rsidP="0006441E">
      <w:pPr>
        <w:keepNext/>
        <w:autoSpaceDE w:val="0"/>
        <w:autoSpaceDN w:val="0"/>
        <w:spacing w:after="240"/>
        <w:jc w:val="both"/>
        <w:rPr>
          <w:rFonts w:ascii="Arial" w:hAnsi="Arial" w:cs="Arial"/>
          <w:b/>
          <w:color w:val="000000"/>
        </w:rPr>
      </w:pPr>
      <w:r w:rsidRPr="00402FFB">
        <w:rPr>
          <w:rFonts w:ascii="Arial" w:hAnsi="Arial" w:cs="Arial"/>
          <w:b/>
          <w:color w:val="000000"/>
        </w:rPr>
        <w:t xml:space="preserve">Section 2.  Authority </w:t>
      </w:r>
    </w:p>
    <w:p w14:paraId="5BCEE096" w14:textId="77777777" w:rsidR="002B06B2" w:rsidRPr="00402FFB" w:rsidRDefault="009A5503" w:rsidP="0006441E">
      <w:pPr>
        <w:autoSpaceDE w:val="0"/>
        <w:autoSpaceDN w:val="0"/>
        <w:spacing w:after="240"/>
        <w:jc w:val="both"/>
        <w:rPr>
          <w:rFonts w:ascii="Arial" w:hAnsi="Arial" w:cs="Arial"/>
          <w:color w:val="000000"/>
        </w:rPr>
      </w:pPr>
      <w:r w:rsidRPr="00402FFB">
        <w:rPr>
          <w:rFonts w:ascii="Arial" w:hAnsi="Arial" w:cs="Arial"/>
          <w:color w:val="000000"/>
        </w:rPr>
        <w:t xml:space="preserve">This local law is adopted pursuant to </w:t>
      </w:r>
      <w:r w:rsidR="00951296">
        <w:rPr>
          <w:rFonts w:ascii="Arial" w:hAnsi="Arial" w:cs="Arial"/>
          <w:color w:val="000000"/>
        </w:rPr>
        <w:t>Cannabis Law § 131</w:t>
      </w:r>
      <w:r w:rsidRPr="00402FFB">
        <w:rPr>
          <w:rFonts w:ascii="Arial" w:hAnsi="Arial" w:cs="Arial"/>
          <w:color w:val="000000"/>
        </w:rPr>
        <w:t xml:space="preserve">, which expressly authorizes </w:t>
      </w:r>
      <w:r w:rsidR="00951296">
        <w:rPr>
          <w:rFonts w:ascii="Arial" w:hAnsi="Arial" w:cs="Arial"/>
          <w:color w:val="000000"/>
        </w:rPr>
        <w:t xml:space="preserve">cities and villages </w:t>
      </w:r>
      <w:r w:rsidR="00B111C9">
        <w:rPr>
          <w:rFonts w:ascii="Arial" w:hAnsi="Arial" w:cs="Arial"/>
          <w:color w:val="000000"/>
        </w:rPr>
        <w:t xml:space="preserve">to </w:t>
      </w:r>
      <w:r w:rsidR="00951296">
        <w:rPr>
          <w:rFonts w:ascii="Arial" w:hAnsi="Arial" w:cs="Arial"/>
          <w:color w:val="000000"/>
        </w:rPr>
        <w:t xml:space="preserve">opt-out of allowing </w:t>
      </w:r>
      <w:r w:rsidR="00951296" w:rsidRPr="00951296">
        <w:rPr>
          <w:rFonts w:ascii="Arial" w:hAnsi="Arial" w:cs="Arial"/>
          <w:color w:val="000000"/>
        </w:rPr>
        <w:t xml:space="preserve">retail cannabis dispensaries and/or on-site cannabis consumption establishments </w:t>
      </w:r>
      <w:r w:rsidR="00951296">
        <w:rPr>
          <w:rFonts w:ascii="Arial" w:hAnsi="Arial" w:cs="Arial"/>
          <w:color w:val="000000"/>
        </w:rPr>
        <w:t>to locate and operate within their boundaries.</w:t>
      </w:r>
    </w:p>
    <w:p w14:paraId="2A8AC6FE" w14:textId="77777777" w:rsidR="002B06B2" w:rsidRPr="00402FFB" w:rsidRDefault="009A5503" w:rsidP="0006441E">
      <w:pPr>
        <w:autoSpaceDE w:val="0"/>
        <w:autoSpaceDN w:val="0"/>
        <w:spacing w:after="240"/>
        <w:jc w:val="both"/>
        <w:rPr>
          <w:rFonts w:ascii="Arial" w:hAnsi="Arial" w:cs="Arial"/>
          <w:b/>
          <w:color w:val="000000"/>
        </w:rPr>
      </w:pPr>
      <w:r w:rsidRPr="00402FFB">
        <w:rPr>
          <w:rFonts w:ascii="Arial" w:hAnsi="Arial" w:cs="Arial"/>
          <w:b/>
          <w:color w:val="000000"/>
        </w:rPr>
        <w:t xml:space="preserve">Section 3.  </w:t>
      </w:r>
      <w:r w:rsidR="00951296">
        <w:rPr>
          <w:rFonts w:ascii="Arial" w:hAnsi="Arial" w:cs="Arial"/>
          <w:b/>
          <w:color w:val="000000"/>
        </w:rPr>
        <w:t>Local Cannabis Retail Dispensary and/or On-Site Consumption Opt-Out</w:t>
      </w:r>
    </w:p>
    <w:p w14:paraId="2900BDD0" w14:textId="77777777" w:rsidR="002B06B2" w:rsidRPr="00402FFB" w:rsidRDefault="009A5503" w:rsidP="0006441E">
      <w:pPr>
        <w:autoSpaceDE w:val="0"/>
        <w:autoSpaceDN w:val="0"/>
        <w:spacing w:after="240"/>
        <w:jc w:val="both"/>
        <w:rPr>
          <w:rFonts w:ascii="Arial" w:hAnsi="Arial" w:cs="Arial"/>
          <w:color w:val="000000"/>
        </w:rPr>
      </w:pPr>
      <w:r w:rsidRPr="00402FFB">
        <w:rPr>
          <w:rFonts w:ascii="Arial" w:hAnsi="Arial" w:cs="Arial"/>
          <w:color w:val="000000"/>
        </w:rPr>
        <w:t xml:space="preserve">The </w:t>
      </w:r>
      <w:r w:rsidR="001B6A30">
        <w:rPr>
          <w:rFonts w:ascii="Arial" w:hAnsi="Arial" w:cs="Arial"/>
          <w:color w:val="000000"/>
        </w:rPr>
        <w:t xml:space="preserve">Village </w:t>
      </w:r>
      <w:r w:rsidR="00402FFB" w:rsidRPr="00402FFB">
        <w:rPr>
          <w:rFonts w:ascii="Arial" w:hAnsi="Arial" w:cs="Arial"/>
          <w:color w:val="000000"/>
        </w:rPr>
        <w:t xml:space="preserve">Board of Trustees </w:t>
      </w:r>
      <w:r w:rsidRPr="00402FFB">
        <w:rPr>
          <w:rFonts w:ascii="Arial" w:hAnsi="Arial" w:cs="Arial"/>
          <w:color w:val="000000"/>
        </w:rPr>
        <w:t>of the City</w:t>
      </w:r>
      <w:r w:rsidR="00F1351D">
        <w:rPr>
          <w:rFonts w:ascii="Arial" w:hAnsi="Arial" w:cs="Arial"/>
          <w:color w:val="000000"/>
        </w:rPr>
        <w:t>/Village</w:t>
      </w:r>
      <w:r w:rsidRPr="00402FFB">
        <w:rPr>
          <w:rFonts w:ascii="Arial" w:hAnsi="Arial" w:cs="Arial"/>
          <w:color w:val="000000"/>
        </w:rPr>
        <w:t xml:space="preserve"> of </w:t>
      </w:r>
      <w:r w:rsidR="0006441E">
        <w:rPr>
          <w:rFonts w:ascii="Arial" w:hAnsi="Arial" w:cs="Arial"/>
          <w:color w:val="000000"/>
        </w:rPr>
        <w:t xml:space="preserve">South Blooming Grove, </w:t>
      </w:r>
      <w:r w:rsidRPr="00402FFB">
        <w:rPr>
          <w:rFonts w:ascii="Arial" w:hAnsi="Arial" w:cs="Arial"/>
          <w:color w:val="000000"/>
        </w:rPr>
        <w:t xml:space="preserve">County of </w:t>
      </w:r>
      <w:r w:rsidR="0006441E">
        <w:rPr>
          <w:rFonts w:ascii="Arial" w:hAnsi="Arial" w:cs="Arial"/>
          <w:color w:val="000000"/>
        </w:rPr>
        <w:t>Orange</w:t>
      </w:r>
      <w:r w:rsidRPr="00402FFB">
        <w:rPr>
          <w:rFonts w:ascii="Arial" w:hAnsi="Arial" w:cs="Arial"/>
          <w:color w:val="000000"/>
        </w:rPr>
        <w:t xml:space="preserve"> hereby </w:t>
      </w:r>
      <w:r w:rsidR="00951296">
        <w:rPr>
          <w:rFonts w:ascii="Arial" w:hAnsi="Arial" w:cs="Arial"/>
          <w:color w:val="000000"/>
        </w:rPr>
        <w:t xml:space="preserve">opts-out of </w:t>
      </w:r>
      <w:r w:rsidR="009E06A1">
        <w:rPr>
          <w:rFonts w:ascii="Arial" w:hAnsi="Arial" w:cs="Arial"/>
          <w:color w:val="000000"/>
        </w:rPr>
        <w:t xml:space="preserve">allowing </w:t>
      </w:r>
      <w:r w:rsidR="009E06A1" w:rsidRPr="00951296">
        <w:rPr>
          <w:rFonts w:ascii="Arial" w:hAnsi="Arial" w:cs="Arial"/>
          <w:color w:val="000000"/>
        </w:rPr>
        <w:t xml:space="preserve">retail cannabis dispensaries and/or on-site cannabis consumption establishments </w:t>
      </w:r>
      <w:r w:rsidR="00AF00C1">
        <w:rPr>
          <w:rFonts w:ascii="Arial" w:hAnsi="Arial" w:cs="Arial"/>
          <w:color w:val="000000"/>
        </w:rPr>
        <w:t xml:space="preserve">from </w:t>
      </w:r>
      <w:r w:rsidR="009E06A1">
        <w:rPr>
          <w:rFonts w:ascii="Arial" w:hAnsi="Arial" w:cs="Arial"/>
          <w:color w:val="000000"/>
        </w:rPr>
        <w:t>locat</w:t>
      </w:r>
      <w:r w:rsidR="00AF00C1">
        <w:rPr>
          <w:rFonts w:ascii="Arial" w:hAnsi="Arial" w:cs="Arial"/>
          <w:color w:val="000000"/>
        </w:rPr>
        <w:t>ing</w:t>
      </w:r>
      <w:r w:rsidR="009E06A1">
        <w:rPr>
          <w:rFonts w:ascii="Arial" w:hAnsi="Arial" w:cs="Arial"/>
          <w:color w:val="000000"/>
        </w:rPr>
        <w:t xml:space="preserve"> and operat</w:t>
      </w:r>
      <w:r w:rsidR="00AF00C1">
        <w:rPr>
          <w:rFonts w:ascii="Arial" w:hAnsi="Arial" w:cs="Arial"/>
          <w:color w:val="000000"/>
        </w:rPr>
        <w:t>ing</w:t>
      </w:r>
      <w:r w:rsidR="009E06A1">
        <w:rPr>
          <w:rFonts w:ascii="Arial" w:hAnsi="Arial" w:cs="Arial"/>
          <w:color w:val="000000"/>
        </w:rPr>
        <w:t xml:space="preserve"> within </w:t>
      </w:r>
      <w:r w:rsidR="00AF00C1">
        <w:rPr>
          <w:rFonts w:ascii="Arial" w:hAnsi="Arial" w:cs="Arial"/>
          <w:color w:val="000000"/>
        </w:rPr>
        <w:t xml:space="preserve">the </w:t>
      </w:r>
      <w:r w:rsidR="009E06A1">
        <w:rPr>
          <w:rFonts w:ascii="Arial" w:hAnsi="Arial" w:cs="Arial"/>
          <w:color w:val="000000"/>
        </w:rPr>
        <w:t>boundaries</w:t>
      </w:r>
      <w:r w:rsidR="00AF00C1">
        <w:rPr>
          <w:rFonts w:ascii="Arial" w:hAnsi="Arial" w:cs="Arial"/>
          <w:color w:val="000000"/>
        </w:rPr>
        <w:t xml:space="preserve"> of the Village of </w:t>
      </w:r>
      <w:r w:rsidR="0006441E">
        <w:rPr>
          <w:rFonts w:ascii="Arial" w:hAnsi="Arial" w:cs="Arial"/>
          <w:color w:val="000000"/>
        </w:rPr>
        <w:t>South Blooming Grove</w:t>
      </w:r>
      <w:r w:rsidR="001B6A30">
        <w:rPr>
          <w:rFonts w:ascii="Arial" w:hAnsi="Arial" w:cs="Arial"/>
          <w:color w:val="000000"/>
        </w:rPr>
        <w:t>.</w:t>
      </w:r>
    </w:p>
    <w:p w14:paraId="1C7EAF9A" w14:textId="77777777" w:rsidR="002B06B2" w:rsidRPr="00402FFB" w:rsidRDefault="009A5503" w:rsidP="0006441E">
      <w:pPr>
        <w:autoSpaceDE w:val="0"/>
        <w:autoSpaceDN w:val="0"/>
        <w:spacing w:after="240"/>
        <w:jc w:val="both"/>
        <w:rPr>
          <w:rFonts w:ascii="Arial" w:hAnsi="Arial" w:cs="Arial"/>
          <w:b/>
          <w:color w:val="000000"/>
        </w:rPr>
      </w:pPr>
      <w:r w:rsidRPr="00402FFB">
        <w:rPr>
          <w:rFonts w:ascii="Arial" w:hAnsi="Arial" w:cs="Arial"/>
          <w:b/>
          <w:color w:val="000000"/>
        </w:rPr>
        <w:t xml:space="preserve">Section 4.  Severability </w:t>
      </w:r>
    </w:p>
    <w:p w14:paraId="43237505" w14:textId="77777777" w:rsidR="002B06B2" w:rsidRPr="00402FFB" w:rsidRDefault="002B06B2" w:rsidP="0006441E">
      <w:pPr>
        <w:autoSpaceDE w:val="0"/>
        <w:autoSpaceDN w:val="0"/>
        <w:spacing w:after="240"/>
        <w:jc w:val="both"/>
        <w:rPr>
          <w:rFonts w:ascii="Arial" w:hAnsi="Arial" w:cs="Arial"/>
          <w:color w:val="000000"/>
        </w:rPr>
      </w:pPr>
      <w:r w:rsidRPr="00402FFB">
        <w:rPr>
          <w:rFonts w:ascii="Arial" w:hAnsi="Arial" w:cs="Arial"/>
          <w:color w:val="000000"/>
        </w:rPr>
        <w:t xml:space="preserve">If a court determines that any clause, sentence, paragraph, subdivision, or part of this </w:t>
      </w:r>
      <w:r w:rsidR="00F64E54" w:rsidRPr="00402FFB">
        <w:rPr>
          <w:rFonts w:ascii="Arial" w:hAnsi="Arial" w:cs="Arial"/>
          <w:color w:val="000000"/>
        </w:rPr>
        <w:t>l</w:t>
      </w:r>
      <w:r w:rsidRPr="00402FFB">
        <w:rPr>
          <w:rFonts w:ascii="Arial" w:hAnsi="Arial" w:cs="Arial"/>
          <w:color w:val="000000"/>
        </w:rPr>
        <w:t xml:space="preserve">ocal </w:t>
      </w:r>
      <w:r w:rsidR="00F64E54" w:rsidRPr="00402FFB">
        <w:rPr>
          <w:rFonts w:ascii="Arial" w:hAnsi="Arial" w:cs="Arial"/>
          <w:color w:val="000000"/>
        </w:rPr>
        <w:t>l</w:t>
      </w:r>
      <w:r w:rsidRPr="00402FFB">
        <w:rPr>
          <w:rFonts w:ascii="Arial" w:hAnsi="Arial" w:cs="Arial"/>
          <w:color w:val="000000"/>
        </w:rPr>
        <w:t xml:space="preserve">aw or the application thereof to any person, firm or corporation, or circumstance is invalid or unconstitutional, the court’s order or judgment shall not affect, impair, or invalidate the remainder of this </w:t>
      </w:r>
      <w:r w:rsidR="00F64E54" w:rsidRPr="00402FFB">
        <w:rPr>
          <w:rFonts w:ascii="Arial" w:hAnsi="Arial" w:cs="Arial"/>
          <w:color w:val="000000"/>
        </w:rPr>
        <w:t>l</w:t>
      </w:r>
      <w:r w:rsidRPr="00402FFB">
        <w:rPr>
          <w:rFonts w:ascii="Arial" w:hAnsi="Arial" w:cs="Arial"/>
          <w:color w:val="000000"/>
        </w:rPr>
        <w:t xml:space="preserve">ocal </w:t>
      </w:r>
      <w:r w:rsidR="00F64E54" w:rsidRPr="00402FFB">
        <w:rPr>
          <w:rFonts w:ascii="Arial" w:hAnsi="Arial" w:cs="Arial"/>
          <w:color w:val="000000"/>
        </w:rPr>
        <w:t>l</w:t>
      </w:r>
      <w:r w:rsidRPr="00402FFB">
        <w:rPr>
          <w:rFonts w:ascii="Arial" w:hAnsi="Arial" w:cs="Arial"/>
          <w:color w:val="000000"/>
        </w:rPr>
        <w:t xml:space="preserve">aw, but shall be confined in its operation to the clause, sentence, paragraph, subdivision, or part of this </w:t>
      </w:r>
      <w:r w:rsidR="00F64E54" w:rsidRPr="00402FFB">
        <w:rPr>
          <w:rFonts w:ascii="Arial" w:hAnsi="Arial" w:cs="Arial"/>
          <w:color w:val="000000"/>
        </w:rPr>
        <w:t>l</w:t>
      </w:r>
      <w:r w:rsidRPr="00402FFB">
        <w:rPr>
          <w:rFonts w:ascii="Arial" w:hAnsi="Arial" w:cs="Arial"/>
          <w:color w:val="000000"/>
        </w:rPr>
        <w:t xml:space="preserve">ocal </w:t>
      </w:r>
      <w:r w:rsidR="00F64E54" w:rsidRPr="00402FFB">
        <w:rPr>
          <w:rFonts w:ascii="Arial" w:hAnsi="Arial" w:cs="Arial"/>
          <w:color w:val="000000"/>
        </w:rPr>
        <w:t>l</w:t>
      </w:r>
      <w:r w:rsidRPr="00402FFB">
        <w:rPr>
          <w:rFonts w:ascii="Arial" w:hAnsi="Arial" w:cs="Arial"/>
          <w:color w:val="000000"/>
        </w:rPr>
        <w:t xml:space="preserve">aw or in its application to the person, individual, firm or corporation or circumstance, directly involved in the controversy in which such judgment or order shall be rendered. </w:t>
      </w:r>
    </w:p>
    <w:p w14:paraId="424D24FF" w14:textId="77777777" w:rsidR="002B06B2" w:rsidRPr="00402FFB" w:rsidRDefault="009A5503" w:rsidP="0006441E">
      <w:pPr>
        <w:spacing w:after="240"/>
        <w:jc w:val="both"/>
        <w:rPr>
          <w:rFonts w:ascii="Arial" w:hAnsi="Arial" w:cs="Arial"/>
          <w:b/>
        </w:rPr>
      </w:pPr>
      <w:r w:rsidRPr="00402FFB">
        <w:rPr>
          <w:rFonts w:ascii="Arial" w:hAnsi="Arial" w:cs="Arial"/>
          <w:b/>
        </w:rPr>
        <w:t>Section 5.  Effective date</w:t>
      </w:r>
    </w:p>
    <w:p w14:paraId="24911EDC" w14:textId="77777777" w:rsidR="009A5503" w:rsidRPr="00402FFB" w:rsidRDefault="00EA58B5" w:rsidP="0006441E">
      <w:pPr>
        <w:spacing w:after="24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This local law shall take effect immediately upon filing with the Secretary of State. </w:t>
      </w:r>
      <w:r>
        <w:rPr>
          <w:rFonts w:ascii="Arial" w:hAnsi="Arial" w:cs="Arial"/>
        </w:rPr>
        <w:t xml:space="preserve"> Pursuant to Cannabis Law § 131, this local law is subject to a permissive referendum and thus may not be filed with the Secretary of State until the applicable time period has elapsed to file a petition or a referendum has been conducted approving this local law.</w:t>
      </w:r>
    </w:p>
    <w:sectPr w:rsidR="009A5503" w:rsidRPr="00402FFB" w:rsidSect="007D7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6B9F" w14:textId="77777777" w:rsidR="00F2092F" w:rsidRDefault="00F2092F" w:rsidP="00C007F9">
      <w:r>
        <w:separator/>
      </w:r>
    </w:p>
  </w:endnote>
  <w:endnote w:type="continuationSeparator" w:id="0">
    <w:p w14:paraId="7E10271E" w14:textId="77777777" w:rsidR="00F2092F" w:rsidRDefault="00F2092F" w:rsidP="00C0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2FB5" w14:textId="77777777" w:rsidR="00C007F9" w:rsidRDefault="00C0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8A28" w14:textId="77777777" w:rsidR="00C007F9" w:rsidRDefault="00C00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EB64" w14:textId="77777777" w:rsidR="00C007F9" w:rsidRDefault="00C0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97B0" w14:textId="77777777" w:rsidR="00F2092F" w:rsidRDefault="00F2092F" w:rsidP="00C007F9">
      <w:r>
        <w:separator/>
      </w:r>
    </w:p>
  </w:footnote>
  <w:footnote w:type="continuationSeparator" w:id="0">
    <w:p w14:paraId="42B4C2ED" w14:textId="77777777" w:rsidR="00F2092F" w:rsidRDefault="00F2092F" w:rsidP="00C0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6FE2" w14:textId="77777777" w:rsidR="00C007F9" w:rsidRDefault="00C0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D699" w14:textId="77777777" w:rsidR="00C007F9" w:rsidRDefault="00C00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5267" w14:textId="77777777" w:rsidR="00C007F9" w:rsidRDefault="00C0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B68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84"/>
    <w:rsid w:val="00000636"/>
    <w:rsid w:val="000127E7"/>
    <w:rsid w:val="0006441E"/>
    <w:rsid w:val="000A3F4A"/>
    <w:rsid w:val="000D66FC"/>
    <w:rsid w:val="00133239"/>
    <w:rsid w:val="001B6A30"/>
    <w:rsid w:val="00233B87"/>
    <w:rsid w:val="002569F7"/>
    <w:rsid w:val="002B06B2"/>
    <w:rsid w:val="002E060A"/>
    <w:rsid w:val="002F5683"/>
    <w:rsid w:val="00310428"/>
    <w:rsid w:val="00327503"/>
    <w:rsid w:val="00402FFB"/>
    <w:rsid w:val="00415C30"/>
    <w:rsid w:val="0043185F"/>
    <w:rsid w:val="00451BE9"/>
    <w:rsid w:val="004E4F83"/>
    <w:rsid w:val="00591F96"/>
    <w:rsid w:val="005C09EB"/>
    <w:rsid w:val="006056A8"/>
    <w:rsid w:val="00655CFC"/>
    <w:rsid w:val="006B6C6D"/>
    <w:rsid w:val="006F04D7"/>
    <w:rsid w:val="006F41E9"/>
    <w:rsid w:val="007301CD"/>
    <w:rsid w:val="0077754B"/>
    <w:rsid w:val="007D5B48"/>
    <w:rsid w:val="007D78A8"/>
    <w:rsid w:val="0080543C"/>
    <w:rsid w:val="00854852"/>
    <w:rsid w:val="00863976"/>
    <w:rsid w:val="00865657"/>
    <w:rsid w:val="00951296"/>
    <w:rsid w:val="009A5503"/>
    <w:rsid w:val="009E06A1"/>
    <w:rsid w:val="00A03268"/>
    <w:rsid w:val="00A40BC2"/>
    <w:rsid w:val="00A77284"/>
    <w:rsid w:val="00A84513"/>
    <w:rsid w:val="00A9107E"/>
    <w:rsid w:val="00AF00C1"/>
    <w:rsid w:val="00B111C9"/>
    <w:rsid w:val="00B17FE3"/>
    <w:rsid w:val="00B753ED"/>
    <w:rsid w:val="00BC1656"/>
    <w:rsid w:val="00C007F9"/>
    <w:rsid w:val="00C4252D"/>
    <w:rsid w:val="00C6680D"/>
    <w:rsid w:val="00CE1D89"/>
    <w:rsid w:val="00D23B8C"/>
    <w:rsid w:val="00D75608"/>
    <w:rsid w:val="00DA61FB"/>
    <w:rsid w:val="00DD0890"/>
    <w:rsid w:val="00DD565A"/>
    <w:rsid w:val="00E02B02"/>
    <w:rsid w:val="00E2676C"/>
    <w:rsid w:val="00E83167"/>
    <w:rsid w:val="00EA58B5"/>
    <w:rsid w:val="00F1351D"/>
    <w:rsid w:val="00F2092F"/>
    <w:rsid w:val="00F64E54"/>
    <w:rsid w:val="00F84A60"/>
    <w:rsid w:val="00F93642"/>
    <w:rsid w:val="00FA335F"/>
    <w:rsid w:val="00FF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A3583"/>
  <w15:docId w15:val="{01048650-6E0C-422A-B828-8EBE2DA4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9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284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E26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B6C6D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rsid w:val="00C00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07F9"/>
    <w:rPr>
      <w:sz w:val="24"/>
      <w:szCs w:val="24"/>
    </w:rPr>
  </w:style>
  <w:style w:type="paragraph" w:styleId="Footer">
    <w:name w:val="footer"/>
    <w:basedOn w:val="Normal"/>
    <w:link w:val="FooterChar"/>
    <w:rsid w:val="00C00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0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6418-2F26-473F-8B19-8E7ED6BF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1853</Characters>
  <Application>Microsoft Office Word</Application>
  <DocSecurity>4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Law No _________ of the year 2011</vt:lpstr>
    </vt:vector>
  </TitlesOfParts>
  <Company>Grizli777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Law No _________ of the year 2011</dc:title>
  <dc:creator>Lori</dc:creator>
  <cp:lastModifiedBy>Clerk</cp:lastModifiedBy>
  <cp:revision>2</cp:revision>
  <cp:lastPrinted>2021-12-10T20:45:00Z</cp:lastPrinted>
  <dcterms:created xsi:type="dcterms:W3CDTF">2021-12-10T20:48:00Z</dcterms:created>
  <dcterms:modified xsi:type="dcterms:W3CDTF">2021-12-10T20:48:00Z</dcterms:modified>
</cp:coreProperties>
</file>